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0" w:before="720"/>
        <w:jc w:val="center"/>
      </w:pPr>
      <w:r>
        <w:t xml:space="preserve">Housecall Pro Usage Audit</w:t>
      </w:r>
    </w:p>
    <w:p>
      <w:pPr>
        <w:spacing w:after="120"/>
        <w:jc w:val="center"/>
      </w:pPr>
      <w:r>
        <w:rPr>
          <w:color w:val="8597AB"/>
          <w:sz w:val="32"/>
          <w:szCs w:val="32"/>
        </w:rPr>
        <w:t xml:space="preserve">Cowboy's Air Conditioning &amp; Heating</w:t>
      </w:r>
    </w:p>
    <w:p>
      <w:pPr>
        <w:spacing w:after="480"/>
        <w:jc w:val="center"/>
      </w:pPr>
      <w:r>
        <w:rPr>
          <w:color w:val="8597AB"/>
          <w:sz w:val="24"/>
          <w:szCs w:val="24"/>
        </w:rPr>
        <w:t xml:space="preserve">12-Month Review · June 2025 – May 2026</w:t>
      </w:r>
    </w:p>
    <w:p>
      <w:pPr>
        <w:spacing w:after="600"/>
        <w:jc w:val="center"/>
      </w:pPr>
      <w:r>
        <w:rPr>
          <w:i/>
          <w:iCs/>
          <w:color w:val="8597AB"/>
          <w:sz w:val="20"/>
          <w:szCs w:val="20"/>
        </w:rPr>
        <w:t xml:space="preserve">Prepared June 8, 2026  ·  Source: Housecall Pro API (read-only)</w:t>
      </w:r>
    </w:p>
    <w:p>
      <w:pPr>
        <w:pStyle w:val="Heading1"/>
        <w:spacing w:after="180" w:before="360"/>
      </w:pPr>
      <w:r>
        <w:t xml:space="preserve">Executive Summary</w:t>
      </w:r>
    </w:p>
    <w:p>
      <w:pPr>
        <w:spacing w:after="120"/>
      </w:pPr>
      <w:r>
        <w:t xml:space="preserve">Cowboy's runs Housecall Pro at high volume with strong core hygiene — </w:t>
      </w:r>
      <w:r>
        <w:rPr>
          <w:b/>
          <w:bCs/>
        </w:rPr>
        <w:t xml:space="preserve">15,366 jobs</w:t>
      </w:r>
      <w:r>
        <w:t xml:space="preserve"> and </w:t>
      </w:r>
      <w:r>
        <w:rPr>
          <w:b/>
          <w:bCs/>
        </w:rPr>
        <w:t xml:space="preserve">$15.5M</w:t>
      </w:r>
      <w:r>
        <w:t xml:space="preserve"> in billed revenue over the last 12 months, with 96%+ lead-source capture on virtually every job. Mobile-app adoption by technicians is strong (85% "On My Way" usage, 88% in-app completion). 2026 introduced job_type and business_unit tracking which has held at 95%+ fill, a major step up from 2025 where these fields were 100% blank.</w:t>
      </w:r>
    </w:p>
    <w:p>
      <w:pPr>
        <w:spacing w:after="120"/>
      </w:pPr>
      <w:r>
        <w:t xml:space="preserve">The biggest unrealized opportunity is on the </w:t>
      </w:r>
      <w:r>
        <w:rPr>
          <w:b/>
          <w:bCs/>
        </w:rPr>
        <w:t xml:space="preserve">recurring-revenue side</w:t>
      </w:r>
      <w:r>
        <w:t xml:space="preserve">: Housecall Pro’s Service Plans / Memberships feature is unused (0 recurring jobs in May 2026), and the Leads pipeline module is effectively dormant (9 leads total versus 15,366 jobs in the same period). For an HVAC operator at this scale, standing these up is the largest concrete lever in this audit.</w:t>
      </w:r>
    </w:p>
    <w:p>
      <w:pPr>
        <w:spacing w:after="120"/>
      </w:pPr>
      <w:r>
        <w:t xml:space="preserve">Other meaningful gaps: 40% of customers have no email on file, 66% have no customer-level lead source, and the cancellation rate has climbed from 3.4% (Sept 2025) to 7.2% (May 2026) — which alone represents roughly $600K of annualized lost bookings if the trend persists.</w:t>
      </w:r>
    </w:p>
    <w:p>
      <w:pPr>
        <w:pStyle w:val="Heading2"/>
        <w:spacing w:after="120" w:before="240"/>
      </w:pPr>
      <w:r>
        <w:t xml:space="preserve">Headline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Metric</w:t>
            </w:r>
          </w:p>
        </w:tc>
        <w:tc>
          <w:tcPr>
            <w:tcW w:type="dxa" w:w="468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Value</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12-mo billed revenue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$15,538,214</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12-mo jobs / calls</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15,366</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Average ticket</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$1,011</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Completion rate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88.7%</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Cancellation rate (12-mo avg / May 2026)</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5.3% / 7.2%</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Lifetime customers in HCP</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39,951</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Lifetime jobs</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136,003</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Lifetime invoices</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124,334</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Lifetime estimates</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11,107</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Active leads in pipeline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C0392B"/>
                <w:sz w:val="20"/>
                <w:szCs w:val="20"/>
              </w:rPr>
              <w:t xml:space="preserve">9  (module unused)</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Employees (field / office / admin)</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71  (48 / 12 / 11)</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Lead sources in directory</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62  (7 with hygiene issues)</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Tags in directory</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486</w:t>
            </w:r>
          </w:p>
        </w:tc>
      </w:tr>
    </w:tbl>
    <w:p>
      <w:pPr>
        <w:spacing w:after="240"/>
      </w:pPr>
      <w:r>
        <w:t xml:space="preserve"/>
      </w:r>
    </w:p>
    <w:p>
      <w:pPr>
        <w:pStyle w:val="Heading2"/>
        <w:spacing w:after="120" w:before="240"/>
      </w:pPr>
      <w:r>
        <w:t xml:space="preserve">Scoring Methodology</w:t>
      </w:r>
    </w:p>
    <w:p>
      <w:pPr>
        <w:spacing w:after="120"/>
      </w:pPr>
      <w:r>
        <w:t xml:space="preserve">Every recommendation below is derived from data pulled live from the Housecall Pro API on June 8, 2026, using the company’s read-only “datacue” key. Aggregate counts (customers, jobs, invoices, estimates, leads) come from the /total_items field on each endpoint. Field-completeness statistics come from a 1,553-job sample (all jobs scheduled in May 2026) and 600-record samples on customers, estimates, and invoices, drawn from the most recent records. Monthly revenue and counts are reconciled against the existing month-over-month aggregates and match to the penny.</w:t>
      </w:r>
    </w:p>
    <w:p>
      <w:r>
        <w:br w:type="page"/>
      </w:r>
    </w:p>
    <w:p>
      <w:pPr>
        <w:pStyle w:val="Heading1"/>
        <w:spacing w:after="180" w:before="360"/>
      </w:pPr>
      <w:r>
        <w:t xml:space="preserve">1. Feature Usage Scorecard</w:t>
      </w:r>
    </w:p>
    <w:p>
      <w:pPr>
        <w:spacing w:after="120"/>
      </w:pPr>
      <w:r>
        <w:t xml:space="preserve">The table below ranks every Housecall Pro feature we could measure via the API. “Status” categories: MASTERED = &gt;95% adoption, GOOD = 70-95%, PARTIAL = 30-70%, BROKEN = &lt;30% where the feature is set up but not flowing, UNUSED = feature exists but is off.</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900"/>
        <w:gridCol w:w="1260"/>
        <w:gridCol w:w="2400"/>
      </w:tblGrid>
      <w:tr>
        <w:tc>
          <w:tcPr>
            <w:tcW w:type="dxa" w:w="18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Category</w:t>
            </w:r>
          </w:p>
        </w:tc>
        <w:tc>
          <w:tcPr>
            <w:tcW w:type="dxa" w:w="30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Feature</w:t>
            </w:r>
          </w:p>
        </w:tc>
        <w:tc>
          <w:tcPr>
            <w:tcW w:type="dxa" w:w="9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Usage</w:t>
            </w:r>
          </w:p>
        </w:tc>
        <w:tc>
          <w:tcPr>
            <w:tcW w:type="dxa" w:w="126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Status</w:t>
            </w:r>
          </w:p>
        </w:tc>
        <w:tc>
          <w:tcPr>
            <w:tcW w:type="dxa" w:w="24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Notes</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Core</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Jobs &amp; Scheduling</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100%</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MASTERED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15,366 jobs / 12mo</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Core</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Customer Database</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100%</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MASTERED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39,951 customers</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Core</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Invoicing &amp; Payments</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100%</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MASTERED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124K invoices lifetime</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Core</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Arrival Windows</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99%</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MASTERED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98.8% of jobs</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Core</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Mobile: On My Way</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85%</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GOOD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Strong tech compliance</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Core</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Mobile: Started Tracking</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79%</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GOOD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Tech opens job in app</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Core</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Mobile: Completed in App</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88%</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GOOD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Tech closes job in app</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Sales</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Estimates Used</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80%</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GOOD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11,107 lifetime estimates</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Sales</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Multi-Option Estimates</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51%</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D68910"/>
                <w:sz w:val="18"/>
                <w:szCs w:val="18"/>
              </w:rPr>
              <w:t xml:space="preserve">PARTIAL</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49.5% still single-option</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Sales</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Estimate -&gt; Job Linking</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4%</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C0392B"/>
                <w:sz w:val="18"/>
                <w:szCs w:val="18"/>
              </w:rPr>
              <w:t xml:space="preserve">BROKEN</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Only 3.9% jobs linked</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Sales</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Multi-Tech Installs</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24%</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GOOD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Team work tracked</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Marketing</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Service Plans / Memberships</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0%</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C0392B"/>
                <w:sz w:val="18"/>
                <w:szCs w:val="18"/>
              </w:rPr>
              <w:t xml:space="preserve">UNUSED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CRITICAL gap</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Marketing</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Recurring Jobs</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0%</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C0392B"/>
                <w:sz w:val="18"/>
                <w:szCs w:val="18"/>
              </w:rPr>
              <w:t xml:space="preserve">UNUSED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No recurrence_rule set</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Marketing</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Customer Email Capture</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60%</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D68910"/>
                <w:sz w:val="18"/>
                <w:szCs w:val="18"/>
              </w:rPr>
              <w:t xml:space="preserve">PARTIAL</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16K customers no email</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Marketing</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Customer Lead Source</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34%</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C0392B"/>
                <w:sz w:val="18"/>
                <w:szCs w:val="18"/>
              </w:rPr>
              <w:t xml:space="preserve">BROKEN</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66% blank</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Marketing</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Customer Tags</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0%</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C0392B"/>
                <w:sz w:val="18"/>
                <w:szCs w:val="18"/>
              </w:rPr>
              <w:t xml:space="preserve">UNUSED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No segmentation</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Marketing</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Customer Notes</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4%</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C0392B"/>
                <w:sz w:val="18"/>
                <w:szCs w:val="18"/>
              </w:rPr>
              <w:t xml:space="preserve">UNUSED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97% blank</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CRM</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Leads / Sales Pipeline</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&lt;1%</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C0392B"/>
                <w:sz w:val="18"/>
                <w:szCs w:val="18"/>
              </w:rPr>
              <w:t xml:space="preserve">UNUSED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9 leads ever</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CRM</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Lead Source (Job-level)</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96%</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MASTERED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Best-in-class capture</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Tagging</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Job Type (2026)</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96%</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GOOD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2025 was 0% (fixed!)</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Tagging</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Business Unit (2026)</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95%</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GOOD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2025 was 0% (fixed!)</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Tagging</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Job Tags</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96%</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27AE60"/>
                <w:sz w:val="18"/>
                <w:szCs w:val="18"/>
              </w:rPr>
              <w:t xml:space="preserve">GOOD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152 unique tags May</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Tagging</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18"/>
                <w:szCs w:val="18"/>
              </w:rPr>
              <w:t xml:space="preserve">Plumbing BU</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&lt;1%</w:t>
            </w:r>
          </w:p>
        </w:tc>
        <w:tc>
          <w:tcPr>
            <w:tcW w:type="dxa" w:w="12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color w:val="C0392B"/>
                <w:sz w:val="18"/>
                <w:szCs w:val="18"/>
              </w:rPr>
              <w:t xml:space="preserve">UNUSED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8 jobs / 12mo</w:t>
            </w:r>
          </w:p>
        </w:tc>
      </w:tr>
    </w:tbl>
    <w:p>
      <w:pPr>
        <w:spacing w:after="240"/>
      </w:pPr>
      <w:r>
        <w:t xml:space="preserve"/>
      </w:r>
    </w:p>
    <w:p>
      <w:pPr>
        <w:pStyle w:val="Heading2"/>
        <w:spacing w:after="120" w:before="240"/>
      </w:pPr>
      <w:r>
        <w:t xml:space="preserve">Reading the Scorecard</w:t>
      </w:r>
    </w:p>
    <w:p>
      <w:pPr>
        <w:pStyle w:val="Heading3"/>
        <w:spacing w:after="80" w:before="180"/>
      </w:pPr>
      <w:r>
        <w:t xml:space="preserve">What’s working</w:t>
      </w:r>
    </w:p>
    <w:p>
      <w:pPr>
        <w:pStyle w:val="ListParagraph"/>
        <w:numPr>
          <w:ilvl w:val="0"/>
          <w:numId w:val="2"/>
        </w:numPr>
        <w:spacing w:after="80"/>
      </w:pPr>
      <w:r>
        <w:t xml:space="preserve">Field operations are tight: arrival windows are set on virtually every job, and the mobile app is being used end-to-end by 80-88% of technicians on every job.</w:t>
      </w:r>
    </w:p>
    <w:p>
      <w:pPr>
        <w:pStyle w:val="ListParagraph"/>
        <w:numPr>
          <w:ilvl w:val="0"/>
          <w:numId w:val="2"/>
        </w:numPr>
        <w:spacing w:after="80"/>
      </w:pPr>
      <w:r>
        <w:t xml:space="preserve">Job-level lead source is captured on 96% of jobs — best-in-class for an HVAC operator at this volume.</w:t>
      </w:r>
    </w:p>
    <w:p>
      <w:pPr>
        <w:pStyle w:val="ListParagraph"/>
        <w:numPr>
          <w:ilvl w:val="0"/>
          <w:numId w:val="2"/>
        </w:numPr>
        <w:spacing w:after="80"/>
      </w:pPr>
      <w:r>
        <w:t xml:space="preserve">2026 introduced job_type and business_unit tracking which now sits at 95%+ fill (2025 was 100% blank). That step-change unlocks service-mix analytics going forward.</w:t>
      </w:r>
    </w:p>
    <w:p>
      <w:pPr>
        <w:pStyle w:val="ListParagraph"/>
        <w:numPr>
          <w:ilvl w:val="0"/>
          <w:numId w:val="2"/>
        </w:numPr>
        <w:spacing w:after="80"/>
      </w:pPr>
      <w:r>
        <w:t xml:space="preserve">Job tagging is active: 152 unique tags used in May alone, with sensible categories ("Tune Up - AC", "No Cool", "New Customer", "Warranty Call", etc.).</w:t>
      </w:r>
    </w:p>
    <w:p>
      <w:pPr>
        <w:pStyle w:val="Heading3"/>
        <w:spacing w:after="80" w:before="180"/>
      </w:pPr>
      <w:r>
        <w:t xml:space="preserve">What’s ignored</w:t>
      </w:r>
    </w:p>
    <w:p>
      <w:pPr>
        <w:pStyle w:val="ListParagraph"/>
        <w:numPr>
          <w:ilvl w:val="0"/>
          <w:numId w:val="2"/>
        </w:numPr>
        <w:spacing w:after="80"/>
      </w:pPr>
      <w:r>
        <w:t xml:space="preserve">Service Plans / Memberships: 0 recurring jobs. The single largest revenue lever still on the shelf.</w:t>
      </w:r>
    </w:p>
    <w:p>
      <w:pPr>
        <w:pStyle w:val="ListParagraph"/>
        <w:numPr>
          <w:ilvl w:val="0"/>
          <w:numId w:val="2"/>
        </w:numPr>
        <w:spacing w:after="80"/>
      </w:pPr>
      <w:r>
        <w:t xml:space="preserve">Leads / Sales Pipeline: 9 leads total — every call goes straight to a Job, so pre-job pipeline visibility is gone.</w:t>
      </w:r>
    </w:p>
    <w:p>
      <w:pPr>
        <w:pStyle w:val="ListParagraph"/>
        <w:numPr>
          <w:ilvl w:val="0"/>
          <w:numId w:val="2"/>
        </w:numPr>
        <w:spacing w:after="80"/>
      </w:pPr>
      <w:r>
        <w:t xml:space="preserve">Customer-level segmentation: 0% of sampled customers have tags, 97% have no notes, 66% have no lead source at the customer level.</w:t>
      </w:r>
    </w:p>
    <w:p>
      <w:r>
        <w:br w:type="page"/>
      </w:r>
    </w:p>
    <w:p>
      <w:pPr>
        <w:pStyle w:val="Heading1"/>
        <w:spacing w:after="180" w:before="360"/>
      </w:pPr>
      <w:r>
        <w:t xml:space="preserve">2. Findings (Detailed)</w:t>
      </w:r>
    </w:p>
    <w:p>
      <w:pPr>
        <w:pStyle w:val="Heading2"/>
        <w:spacing w:after="120" w:before="240"/>
      </w:pPr>
      <w:r>
        <w:t xml:space="preserve">Critical</w:t>
      </w:r>
    </w:p>
    <w:p>
      <w:pPr>
        <w:pStyle w:val="Heading3"/>
        <w:spacing w:after="80" w:before="180"/>
      </w:pPr>
      <w:r>
        <w:t xml:space="preserve">F1 - No Service Plans or Memberships set up</w:t>
      </w:r>
    </w:p>
    <w:p>
      <w:pPr>
        <w:spacing w:after="120"/>
      </w:pPr>
      <w:r>
        <w:t xml:space="preserve">Housecall Pro ships a Service Plans / Memberships feature designed exactly for HVAC tune-up programs: semi-annual visits, priority scheduling, repair discounts, monthly/quarterly/annual billing. The recurrence_rule field on the /jobs endpoint is null on 100% of May 2026 jobs. There are no recurring job templates flowing.</w:t>
      </w:r>
    </w:p>
    <w:p>
      <w:pPr>
        <w:spacing w:after="120"/>
      </w:pPr>
      <w:r>
        <w:rPr>
          <w:b/>
          <w:bCs/>
        </w:rPr>
        <w:t xml:space="preserve">Impact: </w:t>
      </w:r>
      <w:r>
        <w:t xml:space="preserve">Industry benchmark for established HVAC contractors is 10-25% of annual revenue from recurring membership fees. The customer base supports this: 5,378 jobs (35%) in the last 12 months came from Previous Customers, generating $4.79M — a built-in audience already buying repeat service. </w:t>
      </w:r>
      <w:r>
        <w:rPr>
          <w:b/>
          <w:bCs/>
        </w:rPr>
        <w:t xml:space="preserve">At Cowboy’s scale, every 5% of revenue moved to a recurring plan is roughly $777K per year of predictable income</w:t>
      </w:r>
      <w:r>
        <w:t xml:space="preserve"> plus higher tune-up attach rates and lower churn.</w:t>
      </w:r>
    </w:p>
    <w:p>
      <w:pPr>
        <w:pStyle w:val="Heading3"/>
        <w:spacing w:after="80" w:before="180"/>
      </w:pPr>
      <w:r>
        <w:t xml:space="preserve">F2 - Leads / Sales Pipeline module unused</w:t>
      </w:r>
    </w:p>
    <w:p>
      <w:pPr>
        <w:spacing w:after="120"/>
      </w:pPr>
      <w:r>
        <w:t xml:space="preserve">Only 9 leads exist on the /leads endpoint versus 15,366 jobs in the same period. Every call appears to be created directly as a Job (skipping the Lead stage), so there is no pre-job pipeline (“New → Contacted → Estimate Sent → Won / Lost”). Combined with the fact that only 3.9% of jobs are flagged as converted from an estimate, the practical effect is that estimate close rates, lost-deal reasons, and CSR conversion performance can’t be measured.</w:t>
      </w:r>
    </w:p>
    <w:p>
      <w:pPr>
        <w:spacing w:after="120"/>
      </w:pPr>
      <w:r>
        <w:rPr>
          <w:b/>
          <w:bCs/>
        </w:rPr>
        <w:t xml:space="preserve">Impact: </w:t>
      </w:r>
      <w:r>
        <w:t xml:space="preserve">Cannot measure CSR booking-to-close, cannot systematically follow up on unconverted estimates (11,107 lifetime), cannot identify which agents close best. This is the data foundation of any future sales-performance work.</w:t>
      </w:r>
    </w:p>
    <w:p>
      <w:pPr>
        <w:pStyle w:val="Heading3"/>
        <w:spacing w:after="80" w:before="180"/>
      </w:pPr>
      <w:r>
        <w:t xml:space="preserve">F3 - 40% of customers have no email on file</w:t>
      </w:r>
    </w:p>
    <w:p>
      <w:pPr>
        <w:spacing w:after="120"/>
      </w:pPr>
      <w:r>
        <w:t xml:space="preserve">238 of 600 sampled customers (39.7%) have no email address. Customers without an email cannot receive automated review requests, post-job follow-ups, marketing emails, service-plan renewal reminders, or seasonal promotions.</w:t>
      </w:r>
    </w:p>
    <w:p>
      <w:pPr>
        <w:spacing w:after="120"/>
      </w:pPr>
      <w:r>
        <w:rPr>
          <w:b/>
          <w:bCs/>
        </w:rPr>
        <w:t xml:space="preserve">Impact: </w:t>
      </w:r>
      <w:r>
        <w:t xml:space="preserve">Extrapolating across the 39,951-customer base, roughly 16,000 customers sit outside any digital marketing motion. Google review velocity also caps lower than possible, because the automated review-request flow only fires on customers with an email or mobile number with notifications enabled.</w:t>
      </w:r>
    </w:p>
    <w:p>
      <w:pPr>
        <w:pStyle w:val="Heading2"/>
        <w:spacing w:after="120" w:before="240"/>
      </w:pPr>
      <w:r>
        <w:t xml:space="preserve">Warnings</w:t>
      </w:r>
    </w:p>
    <w:p>
      <w:pPr>
        <w:pStyle w:val="Heading3"/>
        <w:spacing w:after="80" w:before="180"/>
      </w:pPr>
      <w:r>
        <w:t xml:space="preserve">F4 - 66% of customers have no customer-level Lead Source</w:t>
      </w:r>
    </w:p>
    <w:p>
      <w:pPr>
        <w:spacing w:after="120"/>
      </w:pPr>
      <w:r>
        <w:t xml:space="preserve">Job-level lead source is excellent (96% set). But the customer’s permanent first-touch source is blank for 397 of 600 sampled customers. Reports default to job-level lead sources, which can vary call-to-call, so long-term LTV by acquisition channel is unmeasurable.</w:t>
      </w:r>
    </w:p>
    <w:p>
      <w:pPr>
        <w:pStyle w:val="Heading3"/>
        <w:spacing w:after="80" w:before="180"/>
      </w:pPr>
      <w:r>
        <w:t xml:space="preserve">F5 - Lead Sources directory has hygiene issues (62 entries)</w:t>
      </w:r>
    </w:p>
    <w:p>
      <w:pPr>
        <w:spacing w:after="120"/>
      </w:pPr>
      <w:r>
        <w:t xml:space="preserve">Seven lead sources have trailing whitespace ("Previous Customer ", "Trane Dealer Locater ", "Building Advertisement ", "Seguin Rodeo ", "Streaming ", "Radio Advertisement ", "Spectrum Advertisement "). These silently double-count in reports versus their non-trailing twins. There are also four informal entries that look like person names rather than channels: "greg", "josh lead", "JP's Mom", "Justin Martinez".</w:t>
      </w:r>
    </w:p>
    <w:p>
      <w:pPr>
        <w:pStyle w:val="Heading3"/>
        <w:spacing w:after="80" w:before="180"/>
      </w:pPr>
      <w:r>
        <w:t xml:space="preserve">F6 - Nine Call Room agents tracked as separate lead sources</w:t>
      </w:r>
    </w:p>
    <w:p>
      <w:pPr>
        <w:spacing w:after="120"/>
      </w:pPr>
      <w:r>
        <w:t xml:space="preserve">Call Room (Alexis), Call Room (Brandi), Call Room (Crystal), Call Room (Shayla), Call Room (Alisha), Call Room (Marcela), Call Room (Michell), Call Room (Emily), Call Room (Anthony). Together that’s 3,964 jobs (26% of total) and $2.08M over the last 12 months. Useful for agent leaderboards but it fragments the actual marketing channel — the Call Room itself — across nine buckets.</w:t>
      </w:r>
    </w:p>
    <w:p>
      <w:pPr>
        <w:pStyle w:val="Heading3"/>
        <w:spacing w:after="80" w:before="180"/>
      </w:pPr>
      <w:r>
        <w:t xml:space="preserve">F7 - 2025 jobs are missing job_type and business_unit (100% blank)</w:t>
      </w:r>
    </w:p>
    <w:p>
      <w:pPr>
        <w:spacing w:after="120"/>
      </w:pPr>
      <w:r>
        <w:t xml:space="preserve">Every job from January through December 2025 has empty job_type and business_unit fields. That’s 15,206 jobs of lost service-mix analytics. The fix landed in January 2026 (now 95%+ fill) but the 2025 historical gap is permanent.</w:t>
      </w:r>
    </w:p>
    <w:p>
      <w:pPr>
        <w:pStyle w:val="Heading3"/>
        <w:spacing w:after="80" w:before="180"/>
      </w:pPr>
      <w:r>
        <w:t xml:space="preserve">F8 - Estimate -&gt; Job conversion tracking broken</w:t>
      </w:r>
    </w:p>
    <w:p>
      <w:pPr>
        <w:spacing w:after="120"/>
      </w:pPr>
      <w:r>
        <w:t xml:space="preserve">In May 2026, only 61 of 1,553 jobs (3.9%) have original_estimate_id set. Either techs are creating new jobs instead of converting estimates via the linked workflow, or the link is breaking at conversion time. Either way, the estimate close-rate funnel is unreadable.</w:t>
      </w:r>
    </w:p>
    <w:p>
      <w:pPr>
        <w:pStyle w:val="Heading3"/>
        <w:spacing w:after="80" w:before="180"/>
      </w:pPr>
      <w:r>
        <w:t xml:space="preserve">F9 - Cancellation rate climbing</w:t>
      </w:r>
    </w:p>
    <w:p>
      <w:pPr>
        <w:spacing w:after="120"/>
      </w:pPr>
      <w:r>
        <w:t xml:space="preserve">Cancel rate climbed from 3.4% in September 2025 to 7.2% in May 2026 — more than doubling over eight months. Across the full 12-month window: 814 cancellations against 15,366 bookings (5.3% blended average).</w:t>
      </w:r>
    </w:p>
    <w:p>
      <w:pPr>
        <w:spacing w:after="120"/>
      </w:pPr>
      <w:r>
        <w:rPr>
          <w:b/>
          <w:bCs/>
        </w:rPr>
        <w:t xml:space="preserve">Impact: </w:t>
      </w:r>
      <w:r>
        <w:t xml:space="preserve">Each 1% of cancel rate at current volume is roughly 150 jobs/year (about $150K of revenue). A 4-point rise represents approximately </w:t>
      </w:r>
      <w:r>
        <w:rPr>
          <w:b/>
          <w:bCs/>
        </w:rPr>
        <w:t xml:space="preserve">$600K per year of lost bookings</w:t>
      </w:r>
      <w:r>
        <w:t xml:space="preserve"> if the trend stabilizes at May 2026 levels.</w:t>
      </w:r>
    </w:p>
    <w:p>
      <w:pPr>
        <w:pStyle w:val="Heading3"/>
        <w:spacing w:after="80" w:before="180"/>
      </w:pPr>
      <w:r>
        <w:t xml:space="preserve">F10 - Plumbing business unit dormant</w:t>
      </w:r>
    </w:p>
    <w:p>
      <w:pPr>
        <w:spacing w:after="120"/>
      </w:pPr>
      <w:r>
        <w:t xml:space="preserve">Plumbing is configured as a business unit but received only 8 jobs in 12 months. Either Plumbing is intentionally inactive (decommission the BU) or jobs are being misrouted to HVAC.</w:t>
      </w:r>
    </w:p>
    <w:p>
      <w:pPr>
        <w:pStyle w:val="Heading3"/>
        <w:spacing w:after="80" w:before="180"/>
      </w:pPr>
      <w:r>
        <w:t xml:space="preserve">F11 - Customer-level tags and notes essentially unused</w:t>
      </w:r>
    </w:p>
    <w:p>
      <w:pPr>
        <w:spacing w:after="120"/>
      </w:pPr>
      <w:r>
        <w:t xml:space="preserve">In a 600-customer sample, 0 customers had tags applied at the customer level (all 486 directory tags are used on jobs only) and only 21 customers (3.5%) had any notes. There is no segmentation infrastructure for VIPs, commercial accounts, Trane Comfort partners, service-plan members, former members, financed installs, etc.</w:t>
      </w:r>
    </w:p>
    <w:p>
      <w:pPr>
        <w:pStyle w:val="Heading2"/>
        <w:spacing w:after="120" w:before="240"/>
      </w:pPr>
      <w:r>
        <w:t xml:space="preserve">Strengths</w:t>
      </w:r>
    </w:p>
    <w:p>
      <w:pPr>
        <w:pStyle w:val="Heading3"/>
        <w:spacing w:after="80" w:before="180"/>
      </w:pPr>
      <w:r>
        <w:t xml:space="preserve">S1 - Mobile-app adoption by technicians</w:t>
      </w:r>
    </w:p>
    <w:p>
      <w:pPr>
        <w:spacing w:after="120"/>
      </w:pPr>
      <w:r>
        <w:t xml:space="preserve">85% of May jobs have “On My Way” timestamps, 79% have job-start timestamps, and 88% have job-complete timestamps. Techs are using the mobile app end-to-end on the large majority of jobs. The infrastructure for accurate time-tracking and customer notifications is in place.</w:t>
      </w:r>
    </w:p>
    <w:p>
      <w:pPr>
        <w:pStyle w:val="Heading3"/>
        <w:spacing w:after="80" w:before="180"/>
      </w:pPr>
      <w:r>
        <w:t xml:space="preserve">S2 - Step-change in data hygiene starting Jan 2026</w:t>
      </w:r>
    </w:p>
    <w:p>
      <w:pPr>
        <w:spacing w:after="120"/>
      </w:pPr>
      <w:r>
        <w:t xml:space="preserve">Job-type and business-unit fill went from 0% in 2025 to 95%+ in 2026. Whatever process or template change was made should be locked in (see Recommendation R10).</w:t>
      </w:r>
    </w:p>
    <w:p>
      <w:pPr>
        <w:pStyle w:val="Heading3"/>
        <w:spacing w:after="80" w:before="180"/>
      </w:pPr>
      <w:r>
        <w:t xml:space="preserve">S3 - Job-level lead source is best-in-class</w:t>
      </w:r>
    </w:p>
    <w:p>
      <w:pPr>
        <w:spacing w:after="120"/>
      </w:pPr>
      <w:r>
        <w:t xml:space="preserve">96.3% of jobs have a lead_source captured at job level, with only 2.3% sitting in "Unspecified." For a 1,200-1,500 calls-per-month HVAC operator, this is excellent CSR discipline.</w:t>
      </w:r>
    </w:p>
    <w:p>
      <w:r>
        <w:br w:type="page"/>
      </w:r>
    </w:p>
    <w:p>
      <w:pPr>
        <w:pStyle w:val="Heading1"/>
        <w:spacing w:after="180" w:before="360"/>
      </w:pPr>
      <w:r>
        <w:t xml:space="preserve">3. Recommendations (Prioritized)</w:t>
      </w:r>
    </w:p>
    <w:p>
      <w:pPr>
        <w:spacing w:after="120"/>
      </w:pPr>
      <w:r>
        <w:t xml:space="preserve">Ordered by estimated dollar impact and ease of execution. Each carries an effort estimate and the relevant Housecall Pro feature.</w:t>
      </w:r>
    </w:p>
    <w:p>
      <w:pPr>
        <w:pStyle w:val="Heading3"/>
        <w:spacing w:after="80" w:before="180"/>
      </w:pPr>
      <w:r>
        <w:t xml:space="preserve">R1 - Launch a tiered Service Plan / Membership program</w:t>
      </w:r>
    </w:p>
    <w:p>
      <w:pPr>
        <w:spacing w:after="120"/>
      </w:pPr>
      <w:r>
        <w:t xml:space="preserve">Set up two or three tiered plans in HCP — e.g., Basic (1 spring + 1 fall tune-up), Comfort (tune-ups + 15% repair discount + priority scheduling), Comfort+ (tune-ups + discounts + financing pre-approval + free diagnostic). Promote to the 5,400-jobs-per-year Previous Customer base first. HCP auto-generates the recurring spring and fall tune-up jobs and supports monthly/quarterly/annual billing.</w:t>
      </w:r>
    </w:p>
    <w:p>
      <w:pPr>
        <w:spacing w:after="120"/>
      </w:pPr>
      <w:r>
        <w:rPr>
          <w:b/>
          <w:bCs/>
        </w:rPr>
        <w:t xml:space="preserve">Effort: </w:t>
      </w:r>
      <w:r>
        <w:t xml:space="preserve">Medium (2-3 weeks setup + ongoing CSR script training). </w:t>
      </w:r>
      <w:r>
        <w:rPr>
          <w:b/>
          <w:bCs/>
        </w:rPr>
        <w:t xml:space="preserve">Upside: </w:t>
      </w:r>
      <w:r>
        <w:t xml:space="preserve">$500K-$1.5M/year recurring revenue at typical HVAC adoption rates.</w:t>
      </w:r>
    </w:p>
    <w:p>
      <w:pPr>
        <w:pStyle w:val="Heading3"/>
        <w:spacing w:after="80" w:before="180"/>
      </w:pPr>
      <w:r>
        <w:t xml:space="preserve">R2 - Clean up the Lead Sources directory</w:t>
      </w:r>
    </w:p>
    <w:p>
      <w:pPr>
        <w:spacing w:after="120"/>
      </w:pPr>
      <w:r>
        <w:t xml:space="preserve">Trim trailing whitespace on the seven affected sources (this alone reunifies double-counted entries in every report). Decide what to do with informal personal-name sources ("greg", "josh lead", "JP's Mom", "Justin Martinez") — either rename them as referrals or delete. Consider consolidating the nine Call Room agent variants into a single "Call Room" source plus a custom field or tag for the specific agent (keeps agent leaderboards intact).</w:t>
      </w:r>
    </w:p>
    <w:p>
      <w:pPr>
        <w:spacing w:after="120"/>
      </w:pPr>
      <w:r>
        <w:rPr>
          <w:b/>
          <w:bCs/>
        </w:rPr>
        <w:t xml:space="preserve">Effort: </w:t>
      </w:r>
      <w:r>
        <w:t xml:space="preserve">Low (about an hour). </w:t>
      </w:r>
      <w:r>
        <w:rPr>
          <w:b/>
          <w:bCs/>
        </w:rPr>
        <w:t xml:space="preserve">Upside: </w:t>
      </w:r>
      <w:r>
        <w:t xml:space="preserve">Permanently cleaner marketing reports.</w:t>
      </w:r>
    </w:p>
    <w:p>
      <w:pPr>
        <w:pStyle w:val="Heading3"/>
        <w:spacing w:after="80" w:before="180"/>
      </w:pPr>
      <w:r>
        <w:t xml:space="preserve">R3 - Make customer email mandatory at CSR intake</w:t>
      </w:r>
    </w:p>
    <w:p>
      <w:pPr>
        <w:spacing w:after="120"/>
      </w:pPr>
      <w:r>
        <w:t xml:space="preserve">With 40% of customers lacking email, the biggest single dial to move is changing the CSR intake script to ask for email on every call. Optional follow-on: deploy a text-to-email capture flow where HCP sends a SMS asking the customer to text back their email. Track CSR email-capture rate as a coachable KPI.</w:t>
      </w:r>
    </w:p>
    <w:p>
      <w:pPr>
        <w:spacing w:after="120"/>
      </w:pPr>
      <w:r>
        <w:rPr>
          <w:b/>
          <w:bCs/>
        </w:rPr>
        <w:t xml:space="preserve">Effort: </w:t>
      </w:r>
      <w:r>
        <w:t xml:space="preserve">Low (script + manager checkin). </w:t>
      </w:r>
      <w:r>
        <w:rPr>
          <w:b/>
          <w:bCs/>
        </w:rPr>
        <w:t xml:space="preserve">Upside: </w:t>
      </w:r>
      <w:r>
        <w:t xml:space="preserve">~16,000 customers re-enter the email funnel over time.</w:t>
      </w:r>
    </w:p>
    <w:p>
      <w:pPr>
        <w:pStyle w:val="Heading3"/>
        <w:spacing w:after="80" w:before="180"/>
      </w:pPr>
      <w:r>
        <w:t xml:space="preserve">R4 - Turn on the Leads / Sales Pipeline module</w:t>
      </w:r>
    </w:p>
    <w:p>
      <w:pPr>
        <w:spacing w:after="120"/>
      </w:pPr>
      <w:r>
        <w:t xml:space="preserve">For every inbound call that does NOT turn into a same-day job, the CSR creates a Lead (not a Job). Leads move through New → Contacted → Estimate Sent → Won / Lost with mandatory lost-reason codes. This is the foundation that unlocks close-rate analytics by CSR, by lead source, and by job type — plus systematic follow-up on unconverted estimates.</w:t>
      </w:r>
    </w:p>
    <w:p>
      <w:pPr>
        <w:spacing w:after="120"/>
      </w:pPr>
      <w:r>
        <w:rPr>
          <w:b/>
          <w:bCs/>
        </w:rPr>
        <w:t xml:space="preserve">Effort: </w:t>
      </w:r>
      <w:r>
        <w:t xml:space="preserve">Medium (workflow change + CSR training). </w:t>
      </w:r>
      <w:r>
        <w:rPr>
          <w:b/>
          <w:bCs/>
        </w:rPr>
        <w:t xml:space="preserve">Upside: </w:t>
      </w:r>
      <w:r>
        <w:t xml:space="preserve">Visibility on close rate — the foundation of every future sales-improvement effort.</w:t>
      </w:r>
    </w:p>
    <w:p>
      <w:pPr>
        <w:pStyle w:val="Heading3"/>
        <w:spacing w:after="80" w:before="180"/>
      </w:pPr>
      <w:r>
        <w:t xml:space="preserve">R5 - Investigate the rising cancellation rate</w:t>
      </w:r>
    </w:p>
    <w:p>
      <w:pPr>
        <w:spacing w:after="120"/>
      </w:pPr>
      <w:r>
        <w:t xml:space="preserve">Pull every cancellation in March-May 2026 and group by lead source, technician, time-of-day, scheduling lead-time, and job type. Likely candidates: weather (March hailstorm reschedules?), high-pressure upsell that breaks the customer relationship, scheduling reschedules being booked as cancellations rather than rescheduled, or weak confirmation calls.</w:t>
      </w:r>
    </w:p>
    <w:p>
      <w:pPr>
        <w:spacing w:after="120"/>
      </w:pPr>
      <w:r>
        <w:rPr>
          <w:b/>
          <w:bCs/>
        </w:rPr>
        <w:t xml:space="preserve">Effort: </w:t>
      </w:r>
      <w:r>
        <w:t xml:space="preserve">Low (data pull, half-day analysis). </w:t>
      </w:r>
      <w:r>
        <w:rPr>
          <w:b/>
          <w:bCs/>
        </w:rPr>
        <w:t xml:space="preserve">Upside: </w:t>
      </w:r>
      <w:r>
        <w:t xml:space="preserve">Each 1% reduction in cancel rate at current volume = approximately $150K/year recovered.</w:t>
      </w:r>
    </w:p>
    <w:p>
      <w:pPr>
        <w:pStyle w:val="Heading3"/>
        <w:spacing w:after="80" w:before="180"/>
      </w:pPr>
      <w:r>
        <w:t xml:space="preserve">R6 - Use Customer Tags for segmentation</w:t>
      </w:r>
    </w:p>
    <w:p>
      <w:pPr>
        <w:spacing w:after="120"/>
      </w:pPr>
      <w:r>
        <w:t xml:space="preserve">Define a small, controlled taxonomy at the customer level: VIP, Commercial, Trane Comfort, Service Plan Member, Past Member - Churned, Financed Install, High-Margin Repeat, Warranty-Heavy. Apply these to existing customers programmatically where possible (e.g., anyone with a financed install in the last 24 months gets the Financed Install tag). This is the prerequisite for any targeted marketing campaign.</w:t>
      </w:r>
    </w:p>
    <w:p>
      <w:pPr>
        <w:spacing w:after="120"/>
      </w:pPr>
      <w:r>
        <w:rPr>
          <w:b/>
          <w:bCs/>
        </w:rPr>
        <w:t xml:space="preserve">Effort: </w:t>
      </w:r>
      <w:r>
        <w:t xml:space="preserve">Medium (define taxonomy + backfill via API). </w:t>
      </w:r>
      <w:r>
        <w:rPr>
          <w:b/>
          <w:bCs/>
        </w:rPr>
        <w:t xml:space="preserve">Upside: </w:t>
      </w:r>
      <w:r>
        <w:t xml:space="preserve">Targeted campaigns; segmented retention.</w:t>
      </w:r>
    </w:p>
    <w:p>
      <w:pPr>
        <w:pStyle w:val="Heading3"/>
        <w:spacing w:after="80" w:before="180"/>
      </w:pPr>
      <w:r>
        <w:t xml:space="preserve">R7 - Default every estimate to 3 options (Good / Better / Best)</w:t>
      </w:r>
    </w:p>
    <w:p>
      <w:pPr>
        <w:spacing w:after="120"/>
      </w:pPr>
      <w:r>
        <w:t xml:space="preserve">Roughly half of estimates ship with only one option today. HCP supports tiered options out of the box. Standardize: Good = repair only, Better = replace with 10-year warranty, Best = replace + service plan + financing pre-approval. Industry data shows three-option estimates lift average ticket 20-40%.</w:t>
      </w:r>
    </w:p>
    <w:p>
      <w:pPr>
        <w:spacing w:after="120"/>
      </w:pPr>
      <w:r>
        <w:rPr>
          <w:b/>
          <w:bCs/>
        </w:rPr>
        <w:t xml:space="preserve">Effort: </w:t>
      </w:r>
      <w:r>
        <w:t xml:space="preserve">Low-Medium (template change + tech training). </w:t>
      </w:r>
      <w:r>
        <w:rPr>
          <w:b/>
          <w:bCs/>
        </w:rPr>
        <w:t xml:space="preserve">Upside: </w:t>
      </w:r>
      <w:r>
        <w:t xml:space="preserve">Higher average ticket on replacement work.</w:t>
      </w:r>
    </w:p>
    <w:p>
      <w:pPr>
        <w:pStyle w:val="Heading3"/>
        <w:spacing w:after="80" w:before="180"/>
      </w:pPr>
      <w:r>
        <w:t xml:space="preserve">R8 - Audit the Tags directory</w:t>
      </w:r>
    </w:p>
    <w:p>
      <w:pPr>
        <w:spacing w:after="120"/>
      </w:pPr>
      <w:r>
        <w:t xml:space="preserve">Delete obvious junk (SCHEDULE_TEST_DELETE_ME, "test") and three very-short tags (Uv, CB, 10). Group remaining 486 tags into approved categories (Install / Service / Repair / Status). Lock the directory so techs only pick from approved tags (HCP supports this in settings).</w:t>
      </w:r>
    </w:p>
    <w:p>
      <w:pPr>
        <w:spacing w:after="120"/>
      </w:pPr>
      <w:r>
        <w:rPr>
          <w:b/>
          <w:bCs/>
        </w:rPr>
        <w:t xml:space="preserve">Effort: </w:t>
      </w:r>
      <w:r>
        <w:t xml:space="preserve">Low (1-2 hours). </w:t>
      </w:r>
      <w:r>
        <w:rPr>
          <w:b/>
          <w:bCs/>
        </w:rPr>
        <w:t xml:space="preserve">Upside: </w:t>
      </w:r>
      <w:r>
        <w:t xml:space="preserve">Cleaner job tagging going forward.</w:t>
      </w:r>
    </w:p>
    <w:p>
      <w:pPr>
        <w:pStyle w:val="Heading3"/>
        <w:spacing w:after="80" w:before="180"/>
      </w:pPr>
      <w:r>
        <w:t xml:space="preserve">R9 - Decide Plumbing’s future</w:t>
      </w:r>
    </w:p>
    <w:p>
      <w:pPr>
        <w:spacing w:after="120"/>
      </w:pPr>
      <w:r>
        <w:t xml:space="preserve">Eight Plumbing jobs in 12 months suggests either a stalled launch or BU misuse. Either invest in plumbing as a genuine second line (price book, dedicated techs, dedicated CSR script) or remove the BU and consolidate.</w:t>
      </w:r>
    </w:p>
    <w:p>
      <w:pPr>
        <w:spacing w:after="120"/>
      </w:pPr>
      <w:r>
        <w:rPr>
          <w:b/>
          <w:bCs/>
        </w:rPr>
        <w:t xml:space="preserve">Effort: </w:t>
      </w:r>
      <w:r>
        <w:t xml:space="preserve">Strategic decision (not a data fix).</w:t>
      </w:r>
    </w:p>
    <w:p>
      <w:pPr>
        <w:pStyle w:val="Heading3"/>
        <w:spacing w:after="80" w:before="180"/>
      </w:pPr>
      <w:r>
        <w:t xml:space="preserve">R10 - Lock job_type and business_unit as required fields</w:t>
      </w:r>
    </w:p>
    <w:p>
      <w:pPr>
        <w:spacing w:after="120"/>
      </w:pPr>
      <w:r>
        <w:t xml:space="preserve">You’re at 95% fill in 2026 — close the last 5%. HCP supports required custom fields per role; with that flipped on, dispatchers and techs can’t save a job without filling these in. Protects the 2026-forward analytics permanently.</w:t>
      </w:r>
    </w:p>
    <w:p>
      <w:pPr>
        <w:spacing w:after="120"/>
      </w:pPr>
      <w:r>
        <w:rPr>
          <w:b/>
          <w:bCs/>
        </w:rPr>
        <w:t xml:space="preserve">Effort: </w:t>
      </w:r>
      <w:r>
        <w:t xml:space="preserve">Low (settings change). </w:t>
      </w:r>
      <w:r>
        <w:rPr>
          <w:b/>
          <w:bCs/>
        </w:rPr>
        <w:t xml:space="preserve">Upside: </w:t>
      </w:r>
      <w:r>
        <w:t xml:space="preserve">Clean YoY analytics permanently — no repeat of the 2025 gap.</w:t>
      </w:r>
    </w:p>
    <w:p>
      <w:r>
        <w:br w:type="page"/>
      </w:r>
    </w:p>
    <w:p>
      <w:pPr>
        <w:pStyle w:val="Heading1"/>
        <w:spacing w:after="180" w:before="360"/>
      </w:pPr>
      <w:r>
        <w:t xml:space="preserve">4. Strategic Gaps — Beyond Housecall Pro</w:t>
      </w:r>
    </w:p>
    <w:p>
      <w:pPr>
        <w:spacing w:after="120"/>
      </w:pPr>
      <w:r>
        <w:t xml:space="preserve">Everything to this point is about how Cowboy’s uses Housecall Pro as a tool. The items in this chapter are about how the business itself operates as an HVAC company. Most of them are not HCP features at all — they are operational, marketing, and people-system gaps that companies at this scale (15K jobs/yr, $15.5M revenue, 48 field techs) typically have running in parallel with their field-service software.</w:t>
      </w:r>
    </w:p>
    <w:p>
      <w:pPr>
        <w:pStyle w:val="Heading2"/>
        <w:spacing w:after="120" w:before="240"/>
      </w:pPr>
      <w:r>
        <w:t xml:space="preserve">Revenue Levers</w:t>
      </w:r>
    </w:p>
    <w:p>
      <w:pPr>
        <w:pStyle w:val="Heading3"/>
        <w:spacing w:after="80" w:before="180"/>
      </w:pPr>
      <w:r>
        <w:t xml:space="preserve">G1 - IAQ (Indoor Air Quality) attach rate is far below benchmark</w:t>
      </w:r>
    </w:p>
    <w:p>
      <w:pPr>
        <w:spacing w:after="120"/>
      </w:pPr>
      <w:r>
        <w:t xml:space="preserve">Indoor Air Quality tag data shows "Indoor Air Quality Check" used on only 2 jobs in 12 months. UV lights, duct cleaning, dehumidifiers, high-MERV filtration, and air scrubbers are 40-60% gross-margin products that attach naturally to any service call — and they are the easiest upsell because the tech is already in the home.</w:t>
      </w:r>
    </w:p>
    <w:p>
      <w:pPr>
        <w:spacing w:after="120"/>
      </w:pPr>
      <w:r>
        <w:rPr>
          <w:b/>
          <w:bCs/>
        </w:rPr>
        <w:t xml:space="preserve">Benchmark: </w:t>
      </w:r>
      <w:r>
        <w:t xml:space="preserve">20-30% of service calls should produce an IAQ recommendation. At Cowboy’s ~10,000 service calls per year, even a 15% attach rate at a $400 average ticket = </w:t>
      </w:r>
      <w:r>
        <w:rPr>
          <w:b/>
          <w:bCs/>
        </w:rPr>
        <w:t xml:space="preserve">$600K/year of high-margin revenue</w:t>
      </w:r>
      <w:r>
        <w:t xml:space="preserve">. Action: add an IAQ checklist to the tech mobile workflow, tie a commission spiff per IAQ sold.</w:t>
      </w:r>
    </w:p>
    <w:p>
      <w:pPr>
        <w:pStyle w:val="Heading3"/>
        <w:spacing w:after="80" w:before="180"/>
      </w:pPr>
      <w:r>
        <w:t xml:space="preserve">G2 - Financing penetration on installs is invisible</w:t>
      </w:r>
    </w:p>
    <w:p>
      <w:pPr>
        <w:spacing w:after="120"/>
      </w:pPr>
      <w:r>
        <w:t xml:space="preserve">Your invoices.php scans for Wells Fargo, Synchrony, GoodLeap, GreenSky and other lenders, but financing percentage per install is not on any dashboard. Without it, sales managers can’t coach close rate per tech, and you don’t know whether to push for more or fewer finance options.</w:t>
      </w:r>
    </w:p>
    <w:p>
      <w:pPr>
        <w:spacing w:after="120"/>
      </w:pPr>
      <w:r>
        <w:rPr>
          <w:b/>
          <w:bCs/>
        </w:rPr>
        <w:t xml:space="preserve">Benchmark: </w:t>
      </w:r>
      <w:r>
        <w:t xml:space="preserve">50-60% of replacement installs should be financed. Each 10 points of financing penetration typically lifts close rate 5-8% and ticket size 15-20%. Action: add a "Financing %" tile to the install scoreboard and set tech-by-tech targets.</w:t>
      </w:r>
    </w:p>
    <w:p>
      <w:pPr>
        <w:pStyle w:val="Heading3"/>
        <w:spacing w:after="80" w:before="180"/>
      </w:pPr>
      <w:r>
        <w:t xml:space="preserve">G3 - Commercial / B2B is effectively zero</w:t>
      </w:r>
    </w:p>
    <w:p>
      <w:pPr>
        <w:spacing w:after="120"/>
      </w:pPr>
      <w:r>
        <w:t xml:space="preserve">In a 600-customer sample, only 2 were commercial. Commercial maintenance contracts are 3-5x more stable revenue than residential, with predictable monthly billing and lower customer acquisition cost because B2B sales are relationship-driven.</w:t>
      </w:r>
    </w:p>
    <w:p>
      <w:pPr>
        <w:spacing w:after="120"/>
      </w:pPr>
      <w:r>
        <w:t xml:space="preserve">A 50-customer commercial book at $300/month preventive-maintenance contracts = </w:t>
      </w:r>
      <w:r>
        <w:rPr>
          <w:b/>
          <w:bCs/>
        </w:rPr>
        <w:t xml:space="preserve">$180K/year recurring</w:t>
      </w:r>
      <w:r>
        <w:t xml:space="preserve">, plus all the demand work those accounts generate. Action: dedicate one estimator to commercial outreach. Targets: property managers, restaurants, retail chains, light-industrial.</w:t>
      </w:r>
    </w:p>
    <w:p>
      <w:pPr>
        <w:pStyle w:val="Heading2"/>
        <w:spacing w:after="120" w:before="240"/>
      </w:pPr>
      <w:r>
        <w:t xml:space="preserve">Customer &amp; Equipment Data</w:t>
      </w:r>
    </w:p>
    <w:p>
      <w:pPr>
        <w:pStyle w:val="Heading3"/>
        <w:spacing w:after="80" w:before="180"/>
      </w:pPr>
      <w:r>
        <w:t xml:space="preserve">G4 - Per-customer equipment record is missing</w:t>
      </w:r>
    </w:p>
    <w:p>
      <w:pPr>
        <w:spacing w:after="120"/>
      </w:pPr>
      <w:r>
        <w:t xml:space="preserve">The HCP Equipment endpoint returned 404 on the API key used for this audit, so equipment-by-customer data either isn’t enabled or isn’t being captured. For 40,000 customers you should know what system each one has — install date, age, warranty status, refrigerant type (R-22 vs R-410A vs R-454B), tonnage, brand.</w:t>
      </w:r>
    </w:p>
    <w:p>
      <w:pPr>
        <w:spacing w:after="120"/>
      </w:pPr>
      <w:r>
        <w:t xml:space="preserve">Without this you cannot time replacement conversations on 14-20-year-old units, and you’re flying blind on the 2025 refrigerant transition to R-454B (R-410A is being phased out). </w:t>
      </w:r>
      <w:r>
        <w:rPr>
          <w:b/>
          <w:bCs/>
        </w:rPr>
        <w:t xml:space="preserve">Replacement-timing data alone is worth $1M+/year</w:t>
      </w:r>
      <w:r>
        <w:t xml:space="preserve"> in proactive install pipeline at your scale. Action: enable Equipment tracking in HCP settings, have techs capture model/serial/install date on every visit, and backfill from existing job notes where possible.</w:t>
      </w:r>
    </w:p>
    <w:p>
      <w:pPr>
        <w:pStyle w:val="Heading3"/>
        <w:spacing w:after="80" w:before="180"/>
      </w:pPr>
      <w:r>
        <w:t xml:space="preserve">G5 - Customer Lifetime Value not tracked</w:t>
      </w:r>
    </w:p>
    <w:p>
      <w:pPr>
        <w:spacing w:after="120"/>
      </w:pPr>
      <w:r>
        <w:t xml:space="preserve">There is no LTV segmentation visible. Across 39,951 customers, your top 10% (roughly 4,000 customers) likely spend 5-10x the median, but they aren’t flagged anywhere in HCP.</w:t>
      </w:r>
    </w:p>
    <w:p>
      <w:pPr>
        <w:spacing w:after="120"/>
      </w:pPr>
      <w:r>
        <w:t xml:space="preserve">VIP segmentation enables priority dispatch, white-glove service plans, first call on referral incentives, and recovery campaigns when a high-value customer goes quiet for 12+ months. Action: compute LTV per customer from existing job history (you can do this via the API) and tag the top decile as "VIP" in HCP.</w:t>
      </w:r>
    </w:p>
    <w:p>
      <w:pPr>
        <w:pStyle w:val="Heading2"/>
        <w:spacing w:after="120" w:before="240"/>
      </w:pPr>
      <w:r>
        <w:t xml:space="preserve">Operations &amp; Quality</w:t>
      </w:r>
    </w:p>
    <w:p>
      <w:pPr>
        <w:pStyle w:val="Heading3"/>
        <w:spacing w:after="80" w:before="180"/>
      </w:pPr>
      <w:r>
        <w:t xml:space="preserve">G6 - Callback rate not tracked back to the original tech</w:t>
      </w:r>
    </w:p>
    <w:p>
      <w:pPr>
        <w:spacing w:after="120"/>
      </w:pPr>
      <w:r>
        <w:t xml:space="preserve">Tags show 112 "Call Back" and 294 "Quality Control" jobs in 12 months — that’s a roughly 2.6% callback rate against approximately 10,000 service jobs. But callbacks aren’t linked to the tech whose work failed, so there is no coaching loop.</w:t>
      </w:r>
    </w:p>
    <w:p>
      <w:pPr>
        <w:spacing w:after="120"/>
      </w:pPr>
      <w:r>
        <w:t xml:space="preserve">Callback rate per tech is the single best quality KPI in HVAC. The best techs run under 2%; problem techs hit 5-10%. </w:t>
      </w:r>
      <w:r>
        <w:rPr>
          <w:b/>
          <w:bCs/>
        </w:rPr>
        <w:t xml:space="preserve">Each 1% reduction in callback rate = ~100 fewer free re-visits per year</w:t>
      </w:r>
      <w:r>
        <w:t xml:space="preserve">. Action: when creating a Call Back job, require the original tech’s name in a custom field. Publish a weekly leaderboard.</w:t>
      </w:r>
    </w:p>
    <w:p>
      <w:pPr>
        <w:pStyle w:val="Heading3"/>
        <w:spacing w:after="80" w:before="180"/>
      </w:pPr>
      <w:r>
        <w:t xml:space="preserve">G7 - Tech performance scorecard is just job count</w:t>
      </w:r>
    </w:p>
    <w:p>
      <w:pPr>
        <w:spacing w:after="120"/>
      </w:pPr>
      <w:r>
        <w:t xml:space="preserve">The top tech (David Botello, 998 jobs) does roughly 4x the median. But ranking by job count alone hides bigger differences in average ticket, IAQ attach rate, callback rate, financing close rate, and percentage of estimates sold.</w:t>
      </w:r>
    </w:p>
    <w:p>
      <w:pPr>
        <w:spacing w:after="120"/>
      </w:pPr>
      <w:r>
        <w:t xml:space="preserve">A multi-axis tech scorecard turns top techs into role models and surfaces coaching targets. HVAC shops that run a weekly tech scoreboard typically lift average ticket 10-20% within 90 days. Action: build a per-tech weekly report covering jobs, revenue, average ticket, IAQ %, callback %, financed-install %, and estimates sold.</w:t>
      </w:r>
    </w:p>
    <w:p>
      <w:pPr>
        <w:pStyle w:val="Heading3"/>
        <w:spacing w:after="80" w:before="180"/>
      </w:pPr>
      <w:r>
        <w:t xml:space="preserve">G8 - Seasonal trough is unprotected</w:t>
      </w:r>
    </w:p>
    <w:p>
      <w:pPr>
        <w:spacing w:after="120"/>
      </w:pPr>
      <w:r>
        <w:t xml:space="preserve">Nov-Jan revenue ran 36% lower than Mar-May ($800K versus $1.85M/month). At your fixed-cost level (71 employees), that swing puts severe pressure on tech retention every fall. The cheapest tech to retain is the one you’ve already trained.</w:t>
      </w:r>
    </w:p>
    <w:p>
      <w:pPr>
        <w:spacing w:after="120"/>
      </w:pPr>
      <w:r>
        <w:t xml:space="preserve">Heating-season campaigns (furnace tune-ups, heat-pump replacements, IAQ during cold/flu season, indoor humidity tune-ups) flatten the trough and </w:t>
      </w:r>
      <w:r>
        <w:rPr>
          <w:b/>
          <w:bCs/>
        </w:rPr>
        <w:t xml:space="preserve">protect the most expensive thing you have: your trained techs</w:t>
      </w:r>
      <w:r>
        <w:t xml:space="preserve">. Action: build a Sept-Jan marketing calendar specifically for heating + IAQ. Pre-sell spring tune-ups in November.</w:t>
      </w:r>
    </w:p>
    <w:p>
      <w:pPr>
        <w:pStyle w:val="Heading2"/>
        <w:spacing w:after="120" w:before="240"/>
      </w:pPr>
      <w:r>
        <w:t xml:space="preserve">Marketing Attribution</w:t>
      </w:r>
    </w:p>
    <w:p>
      <w:pPr>
        <w:pStyle w:val="Heading3"/>
        <w:spacing w:after="80" w:before="180"/>
      </w:pPr>
      <w:r>
        <w:t xml:space="preserve">G9 - Reviews velocity &amp; response not visible</w:t>
      </w:r>
    </w:p>
    <w:p>
      <w:pPr>
        <w:spacing w:after="120"/>
      </w:pPr>
      <w:r>
        <w:t xml:space="preserve">No review-management data was accessible via the read-only API key used. At 1,200-1,500 jobs per month you should be generating 100-200 Google reviews per month. If you’re below that, this is the cheapest dial in marketing.</w:t>
      </w:r>
    </w:p>
    <w:p>
      <w:pPr>
        <w:spacing w:after="120"/>
      </w:pPr>
      <w:r>
        <w:t xml:space="preserve">Google review count and recency is now a top-3 ranking signal for local HVAC SEO. Operators with 1,000+ reviews and a 4.9 rating capture 3-5x more organic clicks than competitors. Action: turn on HCP review-request automation (requires customer email — see Finding F3). Aim for 10% of jobs producing a review.</w:t>
      </w:r>
    </w:p>
    <w:p>
      <w:pPr>
        <w:pStyle w:val="Heading3"/>
        <w:spacing w:after="80" w:before="180"/>
      </w:pPr>
      <w:r>
        <w:t xml:space="preserve">G10 - Cost-per-lead by source is unknown</w:t>
      </w:r>
    </w:p>
    <w:p>
      <w:pPr>
        <w:spacing w:after="120"/>
      </w:pPr>
      <w:r>
        <w:t xml:space="preserve">You track which sources produce jobs (job count and avg ticket per source) but I never saw a cost-per-lead number — what each lead actually costs you to acquire. KSAT 12 at $1,468 average ticket might justify a much bigger TV spend; Door Flyers at $995 might not be paying for itself.</w:t>
      </w:r>
    </w:p>
    <w:p>
      <w:pPr>
        <w:spacing w:after="120"/>
      </w:pPr>
      <w:r>
        <w:t xml:space="preserve">CPL by source is the foundation of every smart marketing-spend decision. Without it, you’re flying blind on what is likely a </w:t>
      </w:r>
      <w:r>
        <w:rPr>
          <w:b/>
          <w:bCs/>
        </w:rPr>
        <w:t xml:space="preserve">$200K+/year marketing budget</w:t>
      </w:r>
      <w:r>
        <w:t xml:space="preserve">. Action: build a monthly Marketing Spend vs Revenue table with columns for Source, Spend, Leads, Bookings, Avg Ticket, CAC, and ROAS.</w:t>
      </w:r>
    </w:p>
    <w:p>
      <w:pPr>
        <w:pStyle w:val="Heading3"/>
        <w:spacing w:after="80" w:before="180"/>
      </w:pPr>
      <w:r>
        <w:t xml:space="preserve">G11 - Call tracking with unique numbers per source</w:t>
      </w:r>
    </w:p>
    <w:p>
      <w:pPr>
        <w:spacing w:after="120"/>
      </w:pPr>
      <w:r>
        <w:t xml:space="preserve">You currently rely on CSRs to ask "where did you hear about us?" and type the answer into HCP. CallRail (or similar) gives each channel its own dedicated phone number — Google, KSAT, Door Flyers, Van wraps, RYNO PPC — so attribution is automatic, and you can listen to recordings of every call.</w:t>
      </w:r>
    </w:p>
    <w:p>
      <w:pPr>
        <w:spacing w:after="120"/>
      </w:pPr>
      <w:r>
        <w:t xml:space="preserve">This closes the attribution loop beyond what CSRs type in. It also unlocks CSR call recording for quality coaching, which is likely the second-biggest improvement lever after tech coaching. Action: spin up CallRail with a unique number per channel, integrate with HCP so the source auto-populates the job-level lead_source field.</w:t>
      </w:r>
    </w:p>
    <w:p>
      <w:pPr>
        <w:pStyle w:val="Heading2"/>
        <w:spacing w:after="120" w:before="240"/>
      </w:pPr>
      <w:r>
        <w:t xml:space="preserve">People &amp; Infrastructure</w:t>
      </w:r>
    </w:p>
    <w:p>
      <w:pPr>
        <w:pStyle w:val="Heading3"/>
        <w:spacing w:after="80" w:before="180"/>
      </w:pPr>
      <w:r>
        <w:t xml:space="preserve">G12 - Tech recruitment &amp; retention pipeline</w:t>
      </w:r>
    </w:p>
    <w:p>
      <w:pPr>
        <w:spacing w:after="120"/>
      </w:pPr>
      <w:r>
        <w:t xml:space="preserve">48 field techs is a lot. HVAC industry tech turnover runs 25-40% annually. Losing a senior tech costs $40K+ in recruiting and training, plus 6 months to bring a replacement to full productivity. None of this lives in Housecall Pro — but it’s arguably the highest-leverage system in the business.</w:t>
      </w:r>
    </w:p>
    <w:p>
      <w:pPr>
        <w:spacing w:after="120"/>
      </w:pPr>
      <w:r>
        <w:t xml:space="preserve">Tech retention is now the #1 constraint on HVAC company growth nationally. Operators with formal apprenticeship programs, documented ride-along curricula, certification ladders, and clear promote-from-within tracks retain techs at twice the rate of competitors. Action: document the apprenticeship program, ride-along curriculum, certifications and career path, internal promote-from-within record, and retention rate per tier. Track in HR system, not HCP.</w:t>
      </w:r>
    </w:p>
    <w:p>
      <w:r>
        <w:br w:type="page"/>
      </w:r>
    </w:p>
    <w:p>
      <w:pPr>
        <w:pStyle w:val="Heading1"/>
        <w:spacing w:after="180" w:before="360"/>
      </w:pPr>
      <w:r>
        <w:t xml:space="preserve">Appendix A - Monthly Performance (12 mo)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2300"/>
        <w:gridCol w:w="1500"/>
        <w:gridCol w:w="1300"/>
        <w:gridCol w:w="1660"/>
      </w:tblGrid>
      <w:tr>
        <w:tc>
          <w:tcPr>
            <w:tcW w:type="dxa" w:w="13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Month</w:t>
            </w:r>
          </w:p>
        </w:tc>
        <w:tc>
          <w:tcPr>
            <w:tcW w:type="dxa" w:w="13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Jobs</w:t>
            </w:r>
          </w:p>
        </w:tc>
        <w:tc>
          <w:tcPr>
            <w:tcW w:type="dxa" w:w="23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Revenue</w:t>
            </w:r>
          </w:p>
        </w:tc>
        <w:tc>
          <w:tcPr>
            <w:tcW w:type="dxa" w:w="15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Avg Ticket</w:t>
            </w:r>
          </w:p>
        </w:tc>
        <w:tc>
          <w:tcPr>
            <w:tcW w:type="dxa" w:w="13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Compl. %</w:t>
            </w:r>
          </w:p>
        </w:tc>
        <w:tc>
          <w:tcPr>
            <w:tcW w:type="dxa" w:w="166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Cancel %</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Jun 2025</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1,482</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$1,680,223</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$1,134</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91.8%</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3.8%</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Jul 2025</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1,438</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$1,584,877</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$1,102</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88.4%</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5.7%</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Aug 2025</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1,547</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$1,538,241</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$994</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90.1%</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5.1%</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Sep 2025</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1,163</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$1,024,358</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$881</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92.6%</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3.4%</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Oct 2025</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1,048</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$884,870</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$844</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89.4%</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3.9%</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Nov 2025</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1,057</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$798,818</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$756</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86.5%</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6.3%</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Dec 2025</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1,114</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$798,232</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$717</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85.0%</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5.3%</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Jan 2026</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1,281</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$1,003,071</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$861</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89.0%</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4.3%</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Feb 2026</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1,032</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$1,016,195</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$1,108</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87.4%</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4.3%</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Mar 2026</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1,407</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$1,738,168</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$1,395</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87.4%</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7.4%</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Apr 2026</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1,240</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$1,617,379</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$1,376</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88.5%</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6.0%</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May 2026</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1,557</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$1,853,783</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$1,328</w:t>
            </w:r>
          </w:p>
        </w:tc>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86.9%</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7.2%</w:t>
            </w:r>
          </w:p>
        </w:tc>
      </w:tr>
      <w:tr>
        <w:tc>
          <w:tcPr>
            <w:tcW w:type="dxa" w:w="1300"/>
            <w:tcBorders>
              <w:top w:val="single" w:color="CCCCCC" w:sz="4"/>
              <w:left w:val="single" w:color="CCCCCC" w:sz="4"/>
              <w:bottom w:val="single" w:color="CCCCCC" w:sz="4"/>
              <w:right w:val="single" w:color="CCCCCC" w:sz="4"/>
            </w:tcBorders>
            <w:shd w:fill="F5A524" w:val="clear"/>
            <w:tcMar>
              <w:top w:type="dxa" w:w="80"/>
              <w:left w:type="dxa" w:w="120"/>
              <w:bottom w:type="dxa" w:w="80"/>
              <w:right w:type="dxa" w:w="120"/>
            </w:tcMar>
          </w:tcPr>
          <w:p>
            <w:r>
              <w:rPr>
                <w:b/>
                <w:bCs/>
                <w:sz w:val="18"/>
                <w:szCs w:val="18"/>
              </w:rPr>
              <w:t xml:space="preserve">12-MO TOTAL</w:t>
            </w:r>
          </w:p>
        </w:tc>
        <w:tc>
          <w:tcPr>
            <w:tcW w:type="dxa" w:w="1300"/>
            <w:tcBorders>
              <w:top w:val="single" w:color="CCCCCC" w:sz="4"/>
              <w:left w:val="single" w:color="CCCCCC" w:sz="4"/>
              <w:bottom w:val="single" w:color="CCCCCC" w:sz="4"/>
              <w:right w:val="single" w:color="CCCCCC" w:sz="4"/>
            </w:tcBorders>
            <w:shd w:fill="F5A524" w:val="clear"/>
            <w:tcMar>
              <w:top w:type="dxa" w:w="80"/>
              <w:left w:type="dxa" w:w="120"/>
              <w:bottom w:type="dxa" w:w="80"/>
              <w:right w:type="dxa" w:w="120"/>
            </w:tcMar>
          </w:tcPr>
          <w:p>
            <w:pPr>
              <w:jc w:val="right"/>
            </w:pPr>
            <w:r>
              <w:rPr>
                <w:b/>
                <w:bCs/>
                <w:sz w:val="18"/>
                <w:szCs w:val="18"/>
              </w:rPr>
              <w:t xml:space="preserve">15,366</w:t>
            </w:r>
          </w:p>
        </w:tc>
        <w:tc>
          <w:tcPr>
            <w:tcW w:type="dxa" w:w="2300"/>
            <w:tcBorders>
              <w:top w:val="single" w:color="CCCCCC" w:sz="4"/>
              <w:left w:val="single" w:color="CCCCCC" w:sz="4"/>
              <w:bottom w:val="single" w:color="CCCCCC" w:sz="4"/>
              <w:right w:val="single" w:color="CCCCCC" w:sz="4"/>
            </w:tcBorders>
            <w:shd w:fill="F5A524" w:val="clear"/>
            <w:tcMar>
              <w:top w:type="dxa" w:w="80"/>
              <w:left w:type="dxa" w:w="120"/>
              <w:bottom w:type="dxa" w:w="80"/>
              <w:right w:type="dxa" w:w="120"/>
            </w:tcMar>
          </w:tcPr>
          <w:p>
            <w:pPr>
              <w:jc w:val="right"/>
            </w:pPr>
            <w:r>
              <w:rPr>
                <w:b/>
                <w:bCs/>
                <w:sz w:val="18"/>
                <w:szCs w:val="18"/>
              </w:rPr>
              <w:t xml:space="preserve">$15,538,214</w:t>
            </w:r>
          </w:p>
        </w:tc>
        <w:tc>
          <w:tcPr>
            <w:tcW w:type="dxa" w:w="1500"/>
            <w:tcBorders>
              <w:top w:val="single" w:color="CCCCCC" w:sz="4"/>
              <w:left w:val="single" w:color="CCCCCC" w:sz="4"/>
              <w:bottom w:val="single" w:color="CCCCCC" w:sz="4"/>
              <w:right w:val="single" w:color="CCCCCC" w:sz="4"/>
            </w:tcBorders>
            <w:shd w:fill="F5A524" w:val="clear"/>
            <w:tcMar>
              <w:top w:type="dxa" w:w="80"/>
              <w:left w:type="dxa" w:w="120"/>
              <w:bottom w:type="dxa" w:w="80"/>
              <w:right w:type="dxa" w:w="120"/>
            </w:tcMar>
          </w:tcPr>
          <w:p>
            <w:pPr>
              <w:jc w:val="right"/>
            </w:pPr>
            <w:r>
              <w:rPr>
                <w:b/>
                <w:bCs/>
                <w:sz w:val="18"/>
                <w:szCs w:val="18"/>
              </w:rPr>
              <w:t xml:space="preserve">$1,011</w:t>
            </w:r>
          </w:p>
        </w:tc>
        <w:tc>
          <w:tcPr>
            <w:tcW w:type="dxa" w:w="1300"/>
            <w:tcBorders>
              <w:top w:val="single" w:color="CCCCCC" w:sz="4"/>
              <w:left w:val="single" w:color="CCCCCC" w:sz="4"/>
              <w:bottom w:val="single" w:color="CCCCCC" w:sz="4"/>
              <w:right w:val="single" w:color="CCCCCC" w:sz="4"/>
            </w:tcBorders>
            <w:shd w:fill="F5A524" w:val="clear"/>
            <w:tcMar>
              <w:top w:type="dxa" w:w="80"/>
              <w:left w:type="dxa" w:w="120"/>
              <w:bottom w:type="dxa" w:w="80"/>
              <w:right w:type="dxa" w:w="120"/>
            </w:tcMar>
          </w:tcPr>
          <w:p>
            <w:pPr>
              <w:jc w:val="right"/>
            </w:pPr>
            <w:r>
              <w:rPr>
                <w:b/>
                <w:bCs/>
                <w:sz w:val="18"/>
                <w:szCs w:val="18"/>
              </w:rPr>
              <w:t xml:space="preserve">88.7%</w:t>
            </w:r>
          </w:p>
        </w:tc>
        <w:tc>
          <w:tcPr>
            <w:tcW w:type="dxa" w:w="1660"/>
            <w:tcBorders>
              <w:top w:val="single" w:color="CCCCCC" w:sz="4"/>
              <w:left w:val="single" w:color="CCCCCC" w:sz="4"/>
              <w:bottom w:val="single" w:color="CCCCCC" w:sz="4"/>
              <w:right w:val="single" w:color="CCCCCC" w:sz="4"/>
            </w:tcBorders>
            <w:shd w:fill="F5A524" w:val="clear"/>
            <w:tcMar>
              <w:top w:type="dxa" w:w="80"/>
              <w:left w:type="dxa" w:w="120"/>
              <w:bottom w:type="dxa" w:w="80"/>
              <w:right w:type="dxa" w:w="120"/>
            </w:tcMar>
          </w:tcPr>
          <w:p>
            <w:pPr>
              <w:jc w:val="right"/>
            </w:pPr>
            <w:r>
              <w:rPr>
                <w:b/>
                <w:bCs/>
                <w:sz w:val="18"/>
                <w:szCs w:val="18"/>
              </w:rPr>
              <w:t xml:space="preserve">5.3%</w:t>
            </w:r>
          </w:p>
        </w:tc>
      </w:tr>
    </w:tbl>
    <w:p>
      <w:pPr>
        <w:spacing w:after="240"/>
      </w:pPr>
      <w:r>
        <w:t xml:space="preserve"/>
      </w:r>
    </w:p>
    <w:p>
      <w:pPr>
        <w:pStyle w:val="Heading1"/>
        <w:spacing w:after="180" w:before="360"/>
      </w:pPr>
      <w:r>
        <w:t xml:space="preserve">Appendix B - Top Lead Sources by Revenue (12 mo)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2400"/>
        <w:gridCol w:w="2460"/>
      </w:tblGrid>
      <w:tr>
        <w:tc>
          <w:tcPr>
            <w:tcW w:type="dxa" w:w="30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Lead Source</w:t>
            </w:r>
          </w:p>
        </w:tc>
        <w:tc>
          <w:tcPr>
            <w:tcW w:type="dxa" w:w="15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Jobs (12mo)</w:t>
            </w:r>
          </w:p>
        </w:tc>
        <w:tc>
          <w:tcPr>
            <w:tcW w:type="dxa" w:w="240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Revenue (12mo)</w:t>
            </w:r>
          </w:p>
        </w:tc>
        <w:tc>
          <w:tcPr>
            <w:tcW w:type="dxa" w:w="2460"/>
            <w:tcBorders>
              <w:top w:val="single" w:color="CCCCCC" w:sz="4"/>
              <w:left w:val="single" w:color="CCCCCC" w:sz="4"/>
              <w:bottom w:val="single" w:color="CCCCCC" w:sz="4"/>
              <w:right w:val="single" w:color="CCCCCC" w:sz="4"/>
            </w:tcBorders>
            <w:shd w:fill="2C3E50" w:val="clear"/>
            <w:tcMar>
              <w:top w:type="dxa" w:w="80"/>
              <w:left w:type="dxa" w:w="120"/>
              <w:bottom w:type="dxa" w:w="80"/>
              <w:right w:type="dxa" w:w="120"/>
            </w:tcMar>
          </w:tcPr>
          <w:p>
            <w:r>
              <w:rPr>
                <w:b/>
                <w:bCs/>
                <w:color w:val="FFFFFF"/>
                <w:sz w:val="20"/>
                <w:szCs w:val="20"/>
              </w:rPr>
              <w:t xml:space="preserve">Avg Ticket</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1. Previous Customer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5,378</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$4,791,787</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$891</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2. Google</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2,155</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$3,603,749</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$1,672</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3. Call Room (Michell)</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1,437</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$727,435</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$506</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4. Door Flyers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1,123</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$1,117,887</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$995</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5. Referral</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873</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$1,702,043</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$1,950</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6. KSAT 12</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561</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$823,660</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$1,468</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7. Call Room (Alisha)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511</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$279,876</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$548</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8. Call Room (Brandi)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375</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$245,312</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$654</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9. Unspecified</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348</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$114,542</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$329</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10. Call Room (Genesis)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307</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$152,725</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$498</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18"/>
                <w:szCs w:val="18"/>
              </w:rPr>
              <w:t xml:space="preserve">11. Van Advertisement</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198</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b/>
                <w:bCs/>
                <w:sz w:val="18"/>
                <w:szCs w:val="18"/>
              </w:rPr>
              <w:t xml:space="preserve">$278,738</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jc w:val="right"/>
            </w:pPr>
            <w:r>
              <w:rPr>
                <w:sz w:val="18"/>
                <w:szCs w:val="18"/>
              </w:rPr>
              <w:t xml:space="preserve">$1,408</w:t>
            </w:r>
          </w:p>
        </w:tc>
      </w:tr>
      <w:tr>
        <w:tc>
          <w:tcPr>
            <w:tcW w:type="dxa" w:w="3000"/>
            <w:tcBorders>
              <w:top w:val="single" w:color="CCCCCC" w:sz="4"/>
              <w:left w:val="single" w:color="CCCCCC" w:sz="4"/>
              <w:bottom w:val="single" w:color="CCCCCC" w:sz="4"/>
              <w:right w:val="single" w:color="CCCCCC" w:sz="4"/>
            </w:tcBorders>
            <w:shd w:fill="FFF3CD" w:val="clear"/>
            <w:tcMar>
              <w:top w:type="dxa" w:w="80"/>
              <w:left w:type="dxa" w:w="120"/>
              <w:bottom w:type="dxa" w:w="80"/>
              <w:right w:type="dxa" w:w="120"/>
            </w:tcMar>
          </w:tcPr>
          <w:p>
            <w:r>
              <w:rPr>
                <w:b/>
                <w:bCs/>
                <w:sz w:val="18"/>
                <w:szCs w:val="18"/>
              </w:rPr>
              <w:t xml:space="preserve">ALL Call Room (aggregated)</w:t>
            </w:r>
          </w:p>
        </w:tc>
        <w:tc>
          <w:tcPr>
            <w:tcW w:type="dxa" w:w="1500"/>
            <w:tcBorders>
              <w:top w:val="single" w:color="CCCCCC" w:sz="4"/>
              <w:left w:val="single" w:color="CCCCCC" w:sz="4"/>
              <w:bottom w:val="single" w:color="CCCCCC" w:sz="4"/>
              <w:right w:val="single" w:color="CCCCCC" w:sz="4"/>
            </w:tcBorders>
            <w:shd w:fill="FFF3CD" w:val="clear"/>
            <w:tcMar>
              <w:top w:type="dxa" w:w="80"/>
              <w:left w:type="dxa" w:w="120"/>
              <w:bottom w:type="dxa" w:w="80"/>
              <w:right w:type="dxa" w:w="120"/>
            </w:tcMar>
          </w:tcPr>
          <w:p>
            <w:pPr>
              <w:jc w:val="right"/>
            </w:pPr>
            <w:r>
              <w:rPr>
                <w:b/>
                <w:bCs/>
                <w:sz w:val="18"/>
                <w:szCs w:val="18"/>
              </w:rPr>
              <w:t xml:space="preserve">3,964</w:t>
            </w:r>
          </w:p>
        </w:tc>
        <w:tc>
          <w:tcPr>
            <w:tcW w:type="dxa" w:w="2400"/>
            <w:tcBorders>
              <w:top w:val="single" w:color="CCCCCC" w:sz="4"/>
              <w:left w:val="single" w:color="CCCCCC" w:sz="4"/>
              <w:bottom w:val="single" w:color="CCCCCC" w:sz="4"/>
              <w:right w:val="single" w:color="CCCCCC" w:sz="4"/>
            </w:tcBorders>
            <w:shd w:fill="FFF3CD" w:val="clear"/>
            <w:tcMar>
              <w:top w:type="dxa" w:w="80"/>
              <w:left w:type="dxa" w:w="120"/>
              <w:bottom w:type="dxa" w:w="80"/>
              <w:right w:type="dxa" w:w="120"/>
            </w:tcMar>
          </w:tcPr>
          <w:p>
            <w:pPr>
              <w:jc w:val="right"/>
            </w:pPr>
            <w:r>
              <w:rPr>
                <w:b/>
                <w:bCs/>
                <w:sz w:val="18"/>
                <w:szCs w:val="18"/>
              </w:rPr>
              <w:t xml:space="preserve">$2,076,234</w:t>
            </w:r>
          </w:p>
        </w:tc>
        <w:tc>
          <w:tcPr>
            <w:tcW w:type="dxa" w:w="2460"/>
            <w:tcBorders>
              <w:top w:val="single" w:color="CCCCCC" w:sz="4"/>
              <w:left w:val="single" w:color="CCCCCC" w:sz="4"/>
              <w:bottom w:val="single" w:color="CCCCCC" w:sz="4"/>
              <w:right w:val="single" w:color="CCCCCC" w:sz="4"/>
            </w:tcBorders>
            <w:shd w:fill="FFF3CD" w:val="clear"/>
            <w:tcMar>
              <w:top w:type="dxa" w:w="80"/>
              <w:left w:type="dxa" w:w="120"/>
              <w:bottom w:type="dxa" w:w="80"/>
              <w:right w:type="dxa" w:w="120"/>
            </w:tcMar>
          </w:tcPr>
          <w:p>
            <w:pPr>
              <w:jc w:val="right"/>
            </w:pPr>
            <w:r>
              <w:rPr>
                <w:b/>
                <w:bCs/>
                <w:sz w:val="18"/>
                <w:szCs w:val="18"/>
              </w:rPr>
              <w:t xml:space="preserve">$524</w:t>
            </w:r>
          </w:p>
        </w:tc>
      </w:tr>
    </w:tbl>
    <w:p>
      <w:pPr>
        <w:spacing w:after="240"/>
      </w:pPr>
      <w:r>
        <w:t xml:space="preserve"/>
      </w:r>
    </w:p>
    <w:p>
      <w:pPr>
        <w:spacing w:after="120"/>
      </w:pPr>
      <w:r>
        <w:t xml:space="preserve">Note: Call Room as a marketing channel (aggregated across all nine agent sub-sources) is the second-largest channel by job count behind Previous Customer, but average ticket is the lowest of any tracked source ($524) — driven mostly by tune-ups and demand calls. Google produces fewer calls but the highest absolute revenue per call ($1,672 avg ticket). Referral is the highest avg ticket of all ($1,950) but lowest volume — worth doubling down on with a formal referral incentive.</w:t>
      </w:r>
    </w:p>
    <w:p>
      <w:pPr>
        <w:pStyle w:val="Heading1"/>
        <w:spacing w:after="180" w:before="360"/>
      </w:pPr>
      <w:r>
        <w:t xml:space="preserve">Appendix C - Methodology &amp;  Data Sources</w:t>
      </w:r>
    </w:p>
    <w:p>
      <w:pPr>
        <w:pStyle w:val="Heading3"/>
        <w:spacing w:after="80" w:before="180"/>
      </w:pPr>
      <w:r>
        <w:t xml:space="preserve">API endpoints used</w:t>
      </w:r>
    </w:p>
    <w:p>
      <w:pPr>
        <w:pStyle w:val="ListParagraph"/>
        <w:numPr>
          <w:ilvl w:val="0"/>
          <w:numId w:val="2"/>
        </w:numPr>
        <w:spacing w:after="80"/>
      </w:pPr>
      <w:r>
        <w:t xml:space="preserve">/company — organization info</w:t>
      </w:r>
    </w:p>
    <w:p>
      <w:pPr>
        <w:pStyle w:val="ListParagraph"/>
        <w:numPr>
          <w:ilvl w:val="0"/>
          <w:numId w:val="2"/>
        </w:numPr>
        <w:spacing w:after="80"/>
      </w:pPr>
      <w:r>
        <w:t xml:space="preserve">/employees (paginated, 71 employees) — roles, contact info</w:t>
      </w:r>
    </w:p>
    <w:p>
      <w:pPr>
        <w:pStyle w:val="ListParagraph"/>
        <w:numPr>
          <w:ilvl w:val="0"/>
          <w:numId w:val="2"/>
        </w:numPr>
        <w:spacing w:after="80"/>
      </w:pPr>
      <w:r>
        <w:t xml:space="preserve">/customers (sample of 600 from 39,951) — hygiene check</w:t>
      </w:r>
    </w:p>
    <w:p>
      <w:pPr>
        <w:pStyle w:val="ListParagraph"/>
        <w:numPr>
          <w:ilvl w:val="0"/>
          <w:numId w:val="2"/>
        </w:numPr>
        <w:spacing w:after="80"/>
      </w:pPr>
      <w:r>
        <w:t xml:space="preserve">/jobs (full pull May 2026, n=1,553; plus existing 12-mo aggregates) — field-fill analysis</w:t>
      </w:r>
    </w:p>
    <w:p>
      <w:pPr>
        <w:pStyle w:val="ListParagraph"/>
        <w:numPr>
          <w:ilvl w:val="0"/>
          <w:numId w:val="2"/>
        </w:numPr>
        <w:spacing w:after="80"/>
      </w:pPr>
      <w:r>
        <w:t xml:space="preserve">/estimates (sample of 600 from 11,107) — option-count + lead source</w:t>
      </w:r>
    </w:p>
    <w:p>
      <w:pPr>
        <w:pStyle w:val="ListParagraph"/>
        <w:numPr>
          <w:ilvl w:val="0"/>
          <w:numId w:val="2"/>
        </w:numPr>
        <w:spacing w:after="80"/>
      </w:pPr>
      <w:r>
        <w:t xml:space="preserve">/leads (full pull, n=9) — pipeline usage</w:t>
      </w:r>
    </w:p>
    <w:p>
      <w:pPr>
        <w:pStyle w:val="ListParagraph"/>
        <w:numPr>
          <w:ilvl w:val="0"/>
          <w:numId w:val="2"/>
        </w:numPr>
        <w:spacing w:after="80"/>
      </w:pPr>
      <w:r>
        <w:t xml:space="preserve">/invoices (sample of 600 from 124,334) — status + line items</w:t>
      </w:r>
    </w:p>
    <w:p>
      <w:pPr>
        <w:pStyle w:val="ListParagraph"/>
        <w:numPr>
          <w:ilvl w:val="0"/>
          <w:numId w:val="2"/>
        </w:numPr>
        <w:spacing w:after="80"/>
      </w:pPr>
      <w:r>
        <w:t xml:space="preserve">/lead_sources (full pull, 62) — hygiene + duplicate detection</w:t>
      </w:r>
    </w:p>
    <w:p>
      <w:pPr>
        <w:pStyle w:val="ListParagraph"/>
        <w:numPr>
          <w:ilvl w:val="0"/>
          <w:numId w:val="2"/>
        </w:numPr>
        <w:spacing w:after="80"/>
      </w:pPr>
      <w:r>
        <w:t xml:space="preserve">/tags (full pull, 486) — hygiene + test-tag detection</w:t>
      </w:r>
    </w:p>
    <w:p>
      <w:pPr>
        <w:pStyle w:val="Heading3"/>
        <w:spacing w:after="80" w:before="180"/>
      </w:pPr>
      <w:r>
        <w:t xml:space="preserve">Endpoints NOT available on this API key</w:t>
      </w:r>
    </w:p>
    <w:p>
      <w:pPr>
        <w:pStyle w:val="ListParagraph"/>
        <w:numPr>
          <w:ilvl w:val="0"/>
          <w:numId w:val="2"/>
        </w:numPr>
        <w:spacing w:after="80"/>
      </w:pPr>
      <w:r>
        <w:t xml:space="preserve">/appointments, /service_plans, /memberships, /price_book, /payments, /reviews, /campaigns — returned 404. Either these features are not enabled on the HCP plan tier, or they require a different API permission. Service Plans returning 404 is consistent with the finding that no recurring jobs exist (Service Plans is the HCP module that creates recurring jobs).</w:t>
      </w:r>
    </w:p>
    <w:p>
      <w:pPr>
        <w:pStyle w:val="Heading3"/>
        <w:spacing w:after="80" w:before="180"/>
      </w:pPr>
      <w:r>
        <w:t xml:space="preserve">Notes &amp; caveats</w:t>
      </w:r>
    </w:p>
    <w:p>
      <w:pPr>
        <w:pStyle w:val="ListParagraph"/>
        <w:numPr>
          <w:ilvl w:val="0"/>
          <w:numId w:val="2"/>
        </w:numPr>
        <w:spacing w:after="80"/>
      </w:pPr>
      <w:r>
        <w:t xml:space="preserve">Field-fill rates are computed from a sample of recent records, not a full lifetime pull. Where the sample is large enough (1,553 May jobs) the rate is precise; for 600-record samples on customers/estimates/invoices, expect +/- a couple of percentage points.</w:t>
      </w:r>
    </w:p>
    <w:p>
      <w:pPr>
        <w:pStyle w:val="ListParagraph"/>
        <w:numPr>
          <w:ilvl w:val="0"/>
          <w:numId w:val="2"/>
        </w:numPr>
        <w:spacing w:after="80"/>
      </w:pPr>
      <w:r>
        <w:t xml:space="preserve">Revenue is billed revenue (total_amount on each job), not strictly cash collected in that calendar month. "Collected" vs "Outstanding" is broken out in the live dashboard.</w:t>
      </w:r>
    </w:p>
    <w:p>
      <w:pPr>
        <w:pStyle w:val="ListParagraph"/>
        <w:numPr>
          <w:ilvl w:val="0"/>
          <w:numId w:val="2"/>
        </w:numPr>
        <w:spacing w:after="80"/>
      </w:pPr>
      <w:r>
        <w:t xml:space="preserve">"Calls" here means jobs in HCP. If raw phone calls are tracked in a separate call-tracking system, that’s a different number.</w:t>
      </w:r>
    </w:p>
    <w:p>
      <w:pPr>
        <w:pStyle w:val="ListParagraph"/>
        <w:numPr>
          <w:ilvl w:val="0"/>
          <w:numId w:val="2"/>
        </w:numPr>
        <w:spacing w:after="80"/>
      </w:pPr>
      <w:r>
        <w:t xml:space="preserve">All percentages and dollar figures reconciled to the existing month-over-month aggregates (data/monthly_aggregates_2025.json + 2026.json) on June 8,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597AB"/>
        <w:sz w:val="16"/>
        <w:szCs w:val="16"/>
      </w:rPr>
      <w:t xml:space="preserve">Confidential — Internal use only</w:t>
    </w:r>
    <w:r>
      <w:rPr>
        <w:color w:val="8597AB"/>
        <w:sz w:val="16"/>
        <w:szCs w:val="16"/>
      </w:rPr>
      <w:t xml:space="preserve">	Page </w:t>
    </w:r>
    <w:r>
      <w:rPr>
        <w:color w:val="8597A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8597AB"/>
        <w:sz w:val="18"/>
        <w:szCs w:val="18"/>
      </w:rPr>
      <w:t xml:space="preserve">Cowboy's AC · Housecall Pro Usage Audit</w:t>
    </w:r>
    <w:r>
      <w:rPr>
        <w:color w:val="8597AB"/>
        <w:sz w:val="18"/>
        <w:szCs w:val="18"/>
      </w:rPr>
      <w:t xml:space="preserve">	June 8,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outlineLvl w:val="0"/>
    </w:pPr>
    <w:rPr>
      <w:rFonts w:ascii="Calibri" w:cs="Calibri" w:eastAsia="Calibri" w:hAnsi="Calibri"/>
      <w:b/>
      <w:bCs/>
      <w:color w:val="1A1205"/>
      <w:sz w:val="48"/>
      <w:szCs w:val="48"/>
    </w:rPr>
  </w:style>
  <w:style w:type="paragraph" w:styleId="Heading1">
    <w:name w:val="Heading 1"/>
    <w:basedOn w:val="Normal"/>
    <w:next w:val="Normal"/>
    <w:qFormat/>
    <w:pPr>
      <w:spacing w:after="180" w:before="360"/>
      <w:outlineLvl w:val="0"/>
    </w:pPr>
    <w:rPr>
      <w:rFonts w:ascii="Calibri" w:cs="Calibri" w:eastAsia="Calibri" w:hAnsi="Calibri"/>
      <w:b/>
      <w:bCs/>
      <w:color w:val="B8860B"/>
      <w:sz w:val="32"/>
      <w:szCs w:val="32"/>
    </w:rPr>
  </w:style>
  <w:style w:type="paragraph" w:styleId="Heading2">
    <w:name w:val="Heading 2"/>
    <w:basedOn w:val="Normal"/>
    <w:next w:val="Normal"/>
    <w:qFormat/>
    <w:pPr>
      <w:spacing w:after="120" w:before="240"/>
      <w:outlineLvl w:val="1"/>
    </w:pPr>
    <w:rPr>
      <w:rFonts w:ascii="Calibri" w:cs="Calibri" w:eastAsia="Calibri" w:hAnsi="Calibri"/>
      <w:b/>
      <w:bCs/>
      <w:color w:val="2C3E50"/>
      <w:sz w:val="26"/>
      <w:szCs w:val="26"/>
    </w:rPr>
  </w:style>
  <w:style w:type="paragraph" w:styleId="Heading3">
    <w:name w:val="Heading 3"/>
    <w:basedOn w:val="Normal"/>
    <w:next w:val="Normal"/>
    <w:qFormat/>
    <w:pPr>
      <w:spacing w:after="80" w:before="180"/>
      <w:outlineLvl w:val="2"/>
    </w:pPr>
    <w:rPr>
      <w:rFonts w:ascii="Calibri" w:cs="Calibri" w:eastAsia="Calibri" w:hAnsi="Calibri"/>
      <w:b/>
      <w:bCs/>
      <w:color w:val="2C3E5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Housecall Pro Usage Audit</dc:title>
  <dc:creator>Cowboy's AC Audit</dc:creator>
  <cp:lastModifiedBy>Un-named</cp:lastModifiedBy>
  <cp:revision>1</cp:revision>
  <dcterms:created xsi:type="dcterms:W3CDTF">2026-06-08T18:10:44.403Z</dcterms:created>
  <dcterms:modified xsi:type="dcterms:W3CDTF">2026-06-08T18:10:44.407Z</dcterms:modified>
</cp:coreProperties>
</file>

<file path=docProps/custom.xml><?xml version="1.0" encoding="utf-8"?>
<Properties xmlns="http://schemas.openxmlformats.org/officeDocument/2006/custom-properties" xmlns:vt="http://schemas.openxmlformats.org/officeDocument/2006/docPropsVTypes"/>
</file>